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Tallinna Mustamäe Reaalgümnaasiumi keskkonnahariduse töörühma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koosoleku protokoll nr.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Teema</w:t>
      </w:r>
      <w:r w:rsidDel="00000000" w:rsidR="00000000" w:rsidRPr="00000000">
        <w:rPr>
          <w:sz w:val="28"/>
          <w:szCs w:val="28"/>
          <w:rtl w:val="0"/>
        </w:rPr>
        <w:t xml:space="preserve">: projekti “Roheline kool” projekti jätkamine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Koht</w:t>
      </w:r>
      <w:r w:rsidDel="00000000" w:rsidR="00000000" w:rsidRPr="00000000">
        <w:rPr>
          <w:sz w:val="28"/>
          <w:szCs w:val="28"/>
          <w:rtl w:val="0"/>
        </w:rPr>
        <w:t xml:space="preserve">: Tallinna Mustamäe Reaalgümnaasium, Ed. Vilde 64, 13421 Tallinn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Aeg</w:t>
      </w:r>
      <w:r w:rsidDel="00000000" w:rsidR="00000000" w:rsidRPr="00000000">
        <w:rPr>
          <w:sz w:val="28"/>
          <w:szCs w:val="28"/>
          <w:rtl w:val="0"/>
        </w:rPr>
        <w:t xml:space="preserve">: 27.10.2018, 15.00 – 16.00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Alus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Kohalviibijad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Svetlana Butkovskaja - õppealajuhataja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Ljudmilla Nikolajenko - õppealajuhataja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Jelena Baer-Bader - projekti koordinaator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Svetlana Zahharova - alaprojekti koordinaator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Andrei Kuntsman - infojuht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Aleksandra Munts-Avajõe- arendusjuht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 Stantšik - huvijuht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Ingrid Reiman - algklasside õpetajate ainesektsiooni juhataja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Irina Tšitšejeva - reaalainete ainesektsiooni juhataja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Õpilasesinduse liikmed: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Sofia Bringul  9a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Uraktšina 9a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Anastassia Melnikova 9a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Nikolai Lomakin 9a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Bogdan Puzikov 9a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Anastassia Romanova 9a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lastotškina 9b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Valeria Egipti 9b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Veronika Mugu 9b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Darina Sibanova 9c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Kristina Bogomolova 9c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Alina Melnikova 8b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Anastasia Kuligina 8b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Margarita Motšalina 8b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Jana Tšerni 8b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Aleksandra Boitsova 8b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Ksenia Gretšiškina 8b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Kirill Doll 4 kl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Vladimir Timošenko 4kl.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Anuš Matinän 5kl.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Juliana Vergun 5 kl.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Jelizaveta Malõhh 5 kl.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Aleksandra Katšan 5kl.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Arina Tšeremhova 5kl.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Kristina Tšeremhova 5kl.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Aleksandr  Vanakov 5kl.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Vadim Bukrejev 5 kl.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OLeksandr Rõbets 5 kl.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Diana Vileulis 5 kl.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Anastasia Karasjova 5 kl.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Projekti jätkamine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Org.küsimused  projektitöö optimiseerimiseks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Sügislaagri “Tark Koolivaheaeg”  korraldus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vaaria: soovitused ja ettepanekud</w:t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Koosoleku käik: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I.Tšitšejeva tutvustas kõigile7. klasside õpilastele mõeldud  töötubade “Avasta ja imesta” tegevusplaani </w:t>
      </w:r>
    </w:p>
    <w:p w:rsidR="00000000" w:rsidDel="00000000" w:rsidP="00000000" w:rsidRDefault="00000000" w:rsidRPr="00000000" w14:paraId="00000044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Munts-Avajõe  teatas, et oli  korraldatud ettevalmistustöö VII Rahvusvaheliseks teadus-praktilise konverentsi töös osalemiseks, mis oli mõeldud koolinoortele ja üliõpilastele teemal “Kõrgtehnoloogiad ja ökoloogia”. Konverents toimus Venemaal St.Peterburis , kus esinesid meie gümnaasumi õpilased ning tutvustasid auditooriumi ökoloogilise kasvatuse printsiipe “Rohelise kooli” projekti raames </w:t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Konverentsi keeleks oli inglise keel, toimumise aeg 01.-02.11.2018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konverentsi teemad: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Kaasaegsed tehnoloogiad. Nanotehnoloogiad. Робототехника.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Energiasäästlikkus. Energoefektiivsus.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Kodukandi ökoloogia:biosfäär,tehnosfäärПервые шаги в эксперимент.</w:t>
      </w:r>
    </w:p>
    <w:p w:rsidR="00000000" w:rsidDel="00000000" w:rsidP="00000000" w:rsidRDefault="00000000" w:rsidRPr="00000000" w14:paraId="0000004C">
      <w:pPr>
        <w:spacing w:after="240" w:before="240" w:line="360" w:lineRule="auto"/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2.Kolleegid jagasid ökoloogilise kasvatuse meetodeid ja võtteid , mida kasutatakse ainetundides.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Sügislaagri “Tark koolivaheaeg” teemaks oli “~Sokolaad ja ettevõtlus”. osalejatele olid korraldatud töötoad kommikarbi valmistamises, tehtud teaduslikud eksperimendid šokolaadi koostise määramisel, LEGO komplektidest on loodud :vaateratta mudel kommide jaoks, šokolaadi transportimise rong ning robotid -kommipakkijad.pilased joonistasid oma eskiise paberil ja arvuti abil ning loodi šokolaaditahvli ümbriseid; parimatest on tehtud tõelised pakendeksemplarid, mis võivad tulevikus saada meie gümnaasiumi brendikaks kingituseks, mida gümnaasium saab kinkida oma partneritele ja külalistele.Targa koolivaheaja programmi raames  külastasid õpilased kommivabriku Kalev, väiksematele, 1.-2.klasside õpilastele toimusid šokolaadikommide  töötoad šokolaadimuuseumis</w:t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4. Tegevusplaani olid sisse viidud väikesed muudatused. Töögrupi liikmed vahetasid arvamusi 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